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2857DE" w:rsidRDefault="00CF695C" w:rsidP="00CF695C">
      <w:pPr>
        <w:spacing w:before="95"/>
        <w:ind w:left="1212" w:right="1212"/>
        <w:jc w:val="center"/>
        <w:rPr>
          <w:b/>
          <w:sz w:val="20"/>
          <w:szCs w:val="20"/>
          <w:lang w:val="ro-RO"/>
        </w:rPr>
      </w:pPr>
      <w:r w:rsidRPr="002857DE">
        <w:rPr>
          <w:b/>
          <w:sz w:val="20"/>
          <w:szCs w:val="20"/>
          <w:lang w:val="ro-RO"/>
        </w:rPr>
        <w:t>FIȘA DISCIPLINEI</w:t>
      </w:r>
    </w:p>
    <w:p w14:paraId="0FDD9D23" w14:textId="77777777" w:rsidR="00CF695C" w:rsidRPr="002857DE" w:rsidRDefault="00CF695C" w:rsidP="00CF695C">
      <w:pPr>
        <w:pStyle w:val="BodyText"/>
        <w:spacing w:before="2"/>
        <w:ind w:left="1215" w:right="1212"/>
        <w:jc w:val="center"/>
        <w:rPr>
          <w:sz w:val="20"/>
          <w:szCs w:val="20"/>
          <w:lang w:val="ro-RO"/>
        </w:rPr>
      </w:pPr>
    </w:p>
    <w:p w14:paraId="43E212CB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2F7BFD" w:rsidRPr="002857DE" w14:paraId="1A1F1B6E" w14:textId="77777777" w:rsidTr="002F7BFD">
        <w:trPr>
          <w:trHeight w:val="284"/>
        </w:trPr>
        <w:tc>
          <w:tcPr>
            <w:tcW w:w="1980" w:type="dxa"/>
          </w:tcPr>
          <w:p w14:paraId="52F7CFBC" w14:textId="77777777" w:rsidR="002F7BFD" w:rsidRPr="002857DE" w:rsidRDefault="002F7BFD" w:rsidP="002F7BF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D7C980F" w14:textId="1E3E1133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Administrative</w:t>
            </w:r>
          </w:p>
        </w:tc>
      </w:tr>
      <w:tr w:rsidR="002F7BFD" w:rsidRPr="002857DE" w14:paraId="67F9D0AF" w14:textId="77777777" w:rsidTr="002F7BFD">
        <w:trPr>
          <w:trHeight w:val="296"/>
        </w:trPr>
        <w:tc>
          <w:tcPr>
            <w:tcW w:w="1980" w:type="dxa"/>
          </w:tcPr>
          <w:p w14:paraId="366C19F0" w14:textId="77777777" w:rsidR="002F7BFD" w:rsidRPr="002857DE" w:rsidRDefault="002F7BFD" w:rsidP="002F7BF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4EE5CBE" w14:textId="4E26988F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Administrative</w:t>
            </w:r>
          </w:p>
        </w:tc>
      </w:tr>
      <w:tr w:rsidR="002F7BFD" w:rsidRPr="002857DE" w14:paraId="38EAAD82" w14:textId="77777777" w:rsidTr="002F7BFD">
        <w:trPr>
          <w:trHeight w:val="284"/>
        </w:trPr>
        <w:tc>
          <w:tcPr>
            <w:tcW w:w="1980" w:type="dxa"/>
          </w:tcPr>
          <w:p w14:paraId="75C7AE33" w14:textId="77777777" w:rsidR="002F7BFD" w:rsidRPr="002857DE" w:rsidRDefault="002F7BFD" w:rsidP="002F7BF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5C8947B" w14:textId="39B78748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administrative</w:t>
            </w:r>
          </w:p>
        </w:tc>
      </w:tr>
      <w:tr w:rsidR="002F7BFD" w:rsidRPr="002857DE" w14:paraId="3F5A5912" w14:textId="77777777" w:rsidTr="002F7BFD">
        <w:trPr>
          <w:trHeight w:val="280"/>
        </w:trPr>
        <w:tc>
          <w:tcPr>
            <w:tcW w:w="1980" w:type="dxa"/>
          </w:tcPr>
          <w:p w14:paraId="1E0F199D" w14:textId="77777777" w:rsidR="002F7BFD" w:rsidRPr="002857DE" w:rsidRDefault="002F7BFD" w:rsidP="002F7BF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222AE10" w14:textId="50CDAD1F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Master</w:t>
            </w:r>
          </w:p>
        </w:tc>
      </w:tr>
      <w:tr w:rsidR="002F7BFD" w:rsidRPr="002857DE" w14:paraId="42BEBD49" w14:textId="77777777" w:rsidTr="002F7BFD">
        <w:trPr>
          <w:trHeight w:val="282"/>
        </w:trPr>
        <w:tc>
          <w:tcPr>
            <w:tcW w:w="1980" w:type="dxa"/>
          </w:tcPr>
          <w:p w14:paraId="0817E295" w14:textId="77777777" w:rsidR="002F7BFD" w:rsidRPr="002857DE" w:rsidRDefault="002F7BFD" w:rsidP="002F7BF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E6F45AF" w14:textId="7D77618A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Management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Administraţie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Europeană</w:t>
            </w:r>
          </w:p>
        </w:tc>
      </w:tr>
    </w:tbl>
    <w:p w14:paraId="2A706DBE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p w14:paraId="362ECBCB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2857DE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2857DE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4E7EF9E7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Cetățenie și drept european</w:t>
            </w:r>
          </w:p>
        </w:tc>
      </w:tr>
      <w:tr w:rsidR="00675224" w:rsidRPr="002857DE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2E5C175B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2857D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3C32AFF4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73" w:type="dxa"/>
          </w:tcPr>
          <w:p w14:paraId="201460F2" w14:textId="77777777" w:rsidR="00CF695C" w:rsidRPr="002857DE" w:rsidRDefault="00CF695C" w:rsidP="004A609A">
            <w:pPr>
              <w:pStyle w:val="TableParagrap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35013F54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Examen</w:t>
            </w:r>
          </w:p>
        </w:tc>
      </w:tr>
      <w:tr w:rsidR="00675224" w:rsidRPr="002857DE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2857DE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Regimul </w:t>
            </w: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2857D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Categoria formativă a disciplinei</w:t>
            </w:r>
          </w:p>
          <w:p w14:paraId="10496397" w14:textId="77777777" w:rsidR="00CF695C" w:rsidRPr="002857DE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DSI – Discipline de sinteză; DAP – Discipline de aprofundare</w:t>
            </w:r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27C25296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DSI</w:t>
            </w:r>
          </w:p>
        </w:tc>
      </w:tr>
      <w:tr w:rsidR="00675224" w:rsidRPr="002857DE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2857DE" w:rsidRDefault="00CF695C" w:rsidP="004A609A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2857D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Categoria de opționalitate a disciplinei:</w:t>
            </w:r>
          </w:p>
          <w:p w14:paraId="4AC93274" w14:textId="77777777" w:rsidR="00CF695C" w:rsidRPr="002857DE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018A7973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DOB</w:t>
            </w:r>
          </w:p>
        </w:tc>
      </w:tr>
    </w:tbl>
    <w:p w14:paraId="6ECCB038" w14:textId="77777777" w:rsidR="00CF695C" w:rsidRPr="002857DE" w:rsidRDefault="00CF695C" w:rsidP="00CF695C">
      <w:pPr>
        <w:pStyle w:val="BodyText"/>
        <w:spacing w:before="8"/>
        <w:rPr>
          <w:b/>
          <w:sz w:val="20"/>
          <w:szCs w:val="20"/>
          <w:lang w:val="ro-RO"/>
        </w:rPr>
      </w:pPr>
    </w:p>
    <w:p w14:paraId="3D914D81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 xml:space="preserve">Timpul total estimat </w:t>
      </w:r>
      <w:r w:rsidRPr="002857DE">
        <w:rPr>
          <w:w w:val="105"/>
          <w:sz w:val="20"/>
          <w:szCs w:val="20"/>
          <w:lang w:val="ro-RO"/>
        </w:rPr>
        <w:t>(ore alocate activităților</w:t>
      </w:r>
      <w:r w:rsidRPr="002857DE">
        <w:rPr>
          <w:spacing w:val="2"/>
          <w:w w:val="105"/>
          <w:sz w:val="20"/>
          <w:szCs w:val="20"/>
          <w:lang w:val="ro-RO"/>
        </w:rPr>
        <w:t xml:space="preserve"> </w:t>
      </w:r>
      <w:r w:rsidRPr="002857DE">
        <w:rPr>
          <w:w w:val="105"/>
          <w:sz w:val="20"/>
          <w:szCs w:val="20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2857DE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2857DE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73B9CD8A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562" w:type="dxa"/>
          </w:tcPr>
          <w:p w14:paraId="0BB6392B" w14:textId="77777777" w:rsidR="00CF695C" w:rsidRPr="002857DE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3861E215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883" w:type="dxa"/>
          </w:tcPr>
          <w:p w14:paraId="0B3A50C8" w14:textId="77777777" w:rsidR="00CF695C" w:rsidRPr="002857DE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1E2B070A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2857D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Laborator/</w:t>
            </w:r>
          </w:p>
          <w:p w14:paraId="77665C65" w14:textId="77777777" w:rsidR="00CF695C" w:rsidRPr="002857D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2857DE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2857DE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2857D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 b) Totalul de ore pe semestru din planul</w:t>
            </w:r>
          </w:p>
          <w:p w14:paraId="4F0FA550" w14:textId="77777777" w:rsidR="00CF695C" w:rsidRPr="002857DE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7392B255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562" w:type="dxa"/>
          </w:tcPr>
          <w:p w14:paraId="5EFB901D" w14:textId="77777777" w:rsidR="00CF695C" w:rsidRPr="002857DE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1D6315B9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883" w:type="dxa"/>
          </w:tcPr>
          <w:p w14:paraId="3C40FB89" w14:textId="77777777" w:rsidR="00CF695C" w:rsidRPr="002857DE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5F38CC94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2857D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Laborator/</w:t>
            </w:r>
          </w:p>
          <w:p w14:paraId="69E97434" w14:textId="77777777" w:rsidR="00CF695C" w:rsidRPr="002857D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2857DE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551EBBB" w14:textId="77777777" w:rsidR="00CF695C" w:rsidRPr="002857DE" w:rsidRDefault="00CF695C" w:rsidP="00CF695C">
      <w:pPr>
        <w:pStyle w:val="BodyText"/>
        <w:spacing w:before="9"/>
        <w:rPr>
          <w:sz w:val="20"/>
          <w:szCs w:val="20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9"/>
        <w:gridCol w:w="1255"/>
      </w:tblGrid>
      <w:tr w:rsidR="00675224" w:rsidRPr="002857DE" w14:paraId="0D75D260" w14:textId="77777777" w:rsidTr="002F7BFD">
        <w:trPr>
          <w:trHeight w:val="215"/>
        </w:trPr>
        <w:tc>
          <w:tcPr>
            <w:tcW w:w="8359" w:type="dxa"/>
          </w:tcPr>
          <w:p w14:paraId="02CD28D3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1255" w:type="dxa"/>
          </w:tcPr>
          <w:p w14:paraId="13A3C97F" w14:textId="77777777" w:rsidR="00CF695C" w:rsidRPr="002857DE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ore</w:t>
            </w:r>
          </w:p>
        </w:tc>
      </w:tr>
      <w:tr w:rsidR="00675224" w:rsidRPr="002857DE" w14:paraId="0172E33C" w14:textId="77777777" w:rsidTr="002F7BFD">
        <w:trPr>
          <w:trHeight w:val="215"/>
        </w:trPr>
        <w:tc>
          <w:tcPr>
            <w:tcW w:w="8359" w:type="dxa"/>
          </w:tcPr>
          <w:p w14:paraId="7C14710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II.a</w:t>
            </w:r>
            <w:proofErr w:type="spellEnd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) Studiu individual</w:t>
            </w:r>
          </w:p>
        </w:tc>
        <w:tc>
          <w:tcPr>
            <w:tcW w:w="1255" w:type="dxa"/>
          </w:tcPr>
          <w:p w14:paraId="37423187" w14:textId="4ED641FC" w:rsidR="00CF695C" w:rsidRPr="002857DE" w:rsidRDefault="002F7BFD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131</w:t>
            </w:r>
          </w:p>
        </w:tc>
      </w:tr>
      <w:tr w:rsidR="00675224" w:rsidRPr="002857DE" w14:paraId="1E87E42B" w14:textId="77777777" w:rsidTr="002F7BFD">
        <w:trPr>
          <w:trHeight w:val="215"/>
        </w:trPr>
        <w:tc>
          <w:tcPr>
            <w:tcW w:w="8359" w:type="dxa"/>
          </w:tcPr>
          <w:p w14:paraId="2F842A72" w14:textId="77777777" w:rsidR="00CF695C" w:rsidRPr="002857DE" w:rsidRDefault="00740D24" w:rsidP="004A609A">
            <w:pPr>
              <w:pStyle w:val="TableParagrap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II.b</w:t>
            </w:r>
            <w:proofErr w:type="spellEnd"/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) </w:t>
            </w:r>
            <w:proofErr w:type="spellStart"/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Tutoriat</w:t>
            </w:r>
            <w:proofErr w:type="spellEnd"/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 (pentru ID)</w:t>
            </w:r>
          </w:p>
        </w:tc>
        <w:tc>
          <w:tcPr>
            <w:tcW w:w="1255" w:type="dxa"/>
          </w:tcPr>
          <w:p w14:paraId="7C5D3359" w14:textId="7D5F6BE6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675224" w:rsidRPr="002857DE" w14:paraId="32D7862B" w14:textId="77777777" w:rsidTr="002F7BFD">
        <w:trPr>
          <w:trHeight w:val="215"/>
        </w:trPr>
        <w:tc>
          <w:tcPr>
            <w:tcW w:w="8359" w:type="dxa"/>
          </w:tcPr>
          <w:p w14:paraId="5E490708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1255" w:type="dxa"/>
          </w:tcPr>
          <w:p w14:paraId="329FADB3" w14:textId="50BB5183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675224" w:rsidRPr="002857DE" w14:paraId="002389C0" w14:textId="77777777" w:rsidTr="002F7BFD">
        <w:trPr>
          <w:trHeight w:val="215"/>
        </w:trPr>
        <w:tc>
          <w:tcPr>
            <w:tcW w:w="8359" w:type="dxa"/>
          </w:tcPr>
          <w:p w14:paraId="1142E6C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1255" w:type="dxa"/>
          </w:tcPr>
          <w:p w14:paraId="4E9D35BE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6E68486A" w14:textId="77777777" w:rsidR="00CF695C" w:rsidRPr="002857DE" w:rsidRDefault="00CF695C" w:rsidP="00CF695C">
      <w:pPr>
        <w:pStyle w:val="BodyText"/>
        <w:spacing w:before="9"/>
        <w:rPr>
          <w:sz w:val="20"/>
          <w:szCs w:val="20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2857DE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Total ore studiu individual </w:t>
            </w:r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(</w:t>
            </w: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II.a+II.b+III</w:t>
            </w:r>
            <w:proofErr w:type="spellEnd"/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66EBF916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131</w:t>
            </w:r>
          </w:p>
        </w:tc>
      </w:tr>
      <w:tr w:rsidR="00675224" w:rsidRPr="002857DE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Total ore pe semestru (</w:t>
            </w: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I.b+II.a+II.b+</w:t>
            </w:r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III+</w:t>
            </w: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IV</w:t>
            </w:r>
            <w:proofErr w:type="spellEnd"/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01FD94A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175</w:t>
            </w:r>
          </w:p>
        </w:tc>
      </w:tr>
      <w:tr w:rsidR="00675224" w:rsidRPr="002857DE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30DFA0DC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</w:tr>
    </w:tbl>
    <w:p w14:paraId="19D980A6" w14:textId="77777777" w:rsidR="00CF695C" w:rsidRPr="002857DE" w:rsidRDefault="00CF695C" w:rsidP="00CF695C">
      <w:pPr>
        <w:pStyle w:val="BodyText"/>
        <w:spacing w:before="8"/>
        <w:rPr>
          <w:sz w:val="20"/>
          <w:szCs w:val="20"/>
          <w:lang w:val="ro-RO"/>
        </w:rPr>
      </w:pPr>
    </w:p>
    <w:p w14:paraId="48290E29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2857DE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2857D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498AD57" w14:textId="77777777" w:rsidR="00CF695C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CP2. Asigură managementul de proiect;</w:t>
            </w:r>
          </w:p>
          <w:p w14:paraId="68D7C479" w14:textId="77777777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CP4. Promovează punerea în aplicare a drepturilor omului;</w:t>
            </w:r>
          </w:p>
          <w:p w14:paraId="10C16E63" w14:textId="77777777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CP6. Dezvoltă orientarea către performanța în administrația publică;</w:t>
            </w:r>
          </w:p>
          <w:p w14:paraId="2D46B71B" w14:textId="22AC62FF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CP10. Dezvoltă strategii de comunicare.</w:t>
            </w:r>
          </w:p>
        </w:tc>
      </w:tr>
      <w:tr w:rsidR="00675224" w:rsidRPr="002857DE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2857D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2327E276" w14:textId="77777777" w:rsidR="00CF695C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CT1. Dă dovadă de inițiativă;</w:t>
            </w:r>
          </w:p>
          <w:p w14:paraId="59E48B2D" w14:textId="3ABE669B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2857DE" w:rsidRDefault="00CF695C" w:rsidP="00CF695C">
      <w:pPr>
        <w:pStyle w:val="BodyText"/>
        <w:spacing w:before="0"/>
        <w:rPr>
          <w:b/>
          <w:sz w:val="20"/>
          <w:szCs w:val="20"/>
          <w:lang w:val="ro-RO"/>
        </w:rPr>
      </w:pPr>
    </w:p>
    <w:p w14:paraId="6DE1A25E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20"/>
          <w:szCs w:val="20"/>
          <w:lang w:val="ro-RO"/>
        </w:rPr>
      </w:pPr>
      <w:r w:rsidRPr="002857DE">
        <w:rPr>
          <w:b/>
          <w:bCs/>
          <w:sz w:val="20"/>
          <w:szCs w:val="20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2857DE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2857D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2857D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2857D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</w:t>
            </w:r>
            <w:proofErr w:type="spellEnd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autonomie</w:t>
            </w:r>
            <w:proofErr w:type="spellEnd"/>
          </w:p>
        </w:tc>
      </w:tr>
      <w:tr w:rsidR="00675224" w:rsidRPr="00C60AE7" w14:paraId="6CEDF277" w14:textId="77777777" w:rsidTr="00F8352C">
        <w:tc>
          <w:tcPr>
            <w:tcW w:w="3123" w:type="dxa"/>
            <w:vAlign w:val="center"/>
          </w:tcPr>
          <w:p w14:paraId="7487C65B" w14:textId="77777777" w:rsidR="00CF695C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CP2.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analizează standardele relevante de aplicare a legislației cu privire la politicile publice în UE.</w:t>
            </w:r>
          </w:p>
          <w:p w14:paraId="398A8E5F" w14:textId="77777777" w:rsidR="002F7BFD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CP4. Identifică  principiile de bază ale drepturilor omului, inclusiv conceptele de universalitate, indivizibilitate și interdependență a drepturilor.</w:t>
            </w:r>
          </w:p>
          <w:p w14:paraId="525910FC" w14:textId="77777777" w:rsidR="002F7BFD" w:rsidRPr="00B858A3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CP6.</w:t>
            </w:r>
            <w:r w:rsidR="009D6FB1" w:rsidRPr="00B858A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9D6FB1"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 xml:space="preserve">Descrie rolul și importanța sistemelor informaționale în modernizarea și eficientizarea proceselor din administrația publică (e.g., e-guvernare, managementul documentelor electronice, baze de </w:t>
            </w:r>
            <w:r w:rsidR="009D6FB1"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lastRenderedPageBreak/>
              <w:t>date publice).</w:t>
            </w:r>
          </w:p>
          <w:p w14:paraId="0DEF1C73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CP10.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Stabiliște aspectul dimanic al limbajurului etic al funcționarului public în relațiile publice.</w:t>
            </w:r>
          </w:p>
          <w:p w14:paraId="6FABFA69" w14:textId="77777777" w:rsidR="009D6FB1" w:rsidRPr="002857DE" w:rsidRDefault="009D6FB1" w:rsidP="009D6FB1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CT1.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Inițiază întâlniri sau discuții cu colegii sau cu liderii organizației pentru a explora modalități de colaborare pe proiecte sau   organizează sesiuni de brainstorming pentru a genera idei noi.</w:t>
            </w:r>
          </w:p>
          <w:p w14:paraId="642B8F03" w14:textId="4345846D" w:rsidR="009D6FB1" w:rsidRPr="002857DE" w:rsidRDefault="009D6FB1" w:rsidP="009D6FB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CT2. 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2CFFB945" w14:textId="77777777" w:rsidR="00CF695C" w:rsidRPr="00B858A3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CP2.</w:t>
            </w:r>
            <w:r w:rsidRPr="00B858A3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Analizea și evaluează acte normative, reglementări și directive europene, identificând implicațiile acestora asupra administrației publice în cadrul proiectelor.</w:t>
            </w:r>
          </w:p>
          <w:p w14:paraId="2B99B574" w14:textId="77777777" w:rsidR="002F7BFD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CP4. Evaluează conformitatea continuturilor cu politicile interne, standardele și reglementările legale comparativ național/european în materie de drepturile omului.</w:t>
            </w:r>
          </w:p>
          <w:p w14:paraId="2FDC3DBB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CP6.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 xml:space="preserve">Evaluează strategii și 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lastRenderedPageBreak/>
              <w:t>analizează date și informații pentru a evalua performanța programelor și serviciilor publice, identificând domeniile care necesită îmbunătățiri.</w:t>
            </w:r>
          </w:p>
          <w:p w14:paraId="31433A6A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CP10.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Elaborează și redactează documente administrative clare, concise și adaptate publicului țintă, în limba maternă și în limba străină.</w:t>
            </w:r>
          </w:p>
          <w:p w14:paraId="0B275F8E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CT1.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Observă problemele sau oportunitățile care nu sunt abordate în mod active,  propune soluții sau proiecte care să răspundă acestor nevoi, chiar înainte de a fi solicitat.</w:t>
            </w:r>
          </w:p>
          <w:p w14:paraId="761A5D00" w14:textId="69A65855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CT2. 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2B914585" w14:textId="77777777" w:rsidR="00CF695C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CP2.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Monitorizează și evaluează legislația europeană și a impactului acesteia asupra administrației publice, inclusiv respectarea normelor și standardelor aplicabile.</w:t>
            </w:r>
          </w:p>
          <w:p w14:paraId="10A9EA72" w14:textId="77777777" w:rsidR="002F7BFD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CP4.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Asigură concentrarea informațiilor teorie/practică  privind drepturile omului și implicit implementarea în sfera politicilor administrative  naționale/europene în scopul redactării unor rapoarte de uz practic</w:t>
            </w:r>
            <w:r w:rsidR="009D6FB1"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.</w:t>
            </w:r>
          </w:p>
          <w:p w14:paraId="56935DF1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CP6.</w:t>
            </w:r>
            <w:r w:rsidRPr="00B858A3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Gestionează autonom procesele de monitorizare și evaluare a implementării strategiilor.</w:t>
            </w:r>
          </w:p>
          <w:p w14:paraId="61CA0F13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CP10.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 xml:space="preserve">Planifică implementarea și monitorizarea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canalelor adecvate pentru a ajunge la public,  acestea pot include rețele sociale, e-mail, site-uri web, evenimente, conferințe, publicații sau mass-media tradițională.</w:t>
            </w:r>
          </w:p>
          <w:p w14:paraId="1BDCE2C2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CT1.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Dezvoltă un sistem prin care să monitorizeze și să raporteze progresul proiectelor sau inițiativelor sale, arătând astfel angajamentul față de rezultate.</w:t>
            </w:r>
          </w:p>
          <w:p w14:paraId="6C6EACF4" w14:textId="6C8B5EC6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CT2.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Demonstrează flexibilitate și adaptabilitate în relația cu ceilalți membri ai echipei, acceptând schimbările și ajustările necesare.</w:t>
            </w:r>
          </w:p>
        </w:tc>
      </w:tr>
    </w:tbl>
    <w:p w14:paraId="7F7BB9BC" w14:textId="77777777" w:rsidR="00CF695C" w:rsidRPr="002857DE" w:rsidRDefault="00CF695C" w:rsidP="00CF695C">
      <w:pPr>
        <w:tabs>
          <w:tab w:val="left" w:pos="1049"/>
          <w:tab w:val="left" w:pos="1050"/>
        </w:tabs>
        <w:spacing w:after="12"/>
        <w:rPr>
          <w:sz w:val="20"/>
          <w:szCs w:val="20"/>
          <w:lang w:val="ro-RO"/>
        </w:rPr>
      </w:pPr>
    </w:p>
    <w:p w14:paraId="489160E6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 xml:space="preserve">Obiectivele disciplinei </w:t>
      </w:r>
      <w:r w:rsidRPr="002857DE">
        <w:rPr>
          <w:w w:val="105"/>
          <w:sz w:val="20"/>
          <w:szCs w:val="20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2857DE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2857D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9199C69" w14:textId="1F0608EF" w:rsidR="009D6FB1" w:rsidRPr="002857DE" w:rsidRDefault="009D6FB1" w:rsidP="009D6FB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utilizarea limbajului specific dreptului european,  în scopul comunicării adecvate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optimizării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la curs și seminar.</w:t>
            </w:r>
          </w:p>
          <w:p w14:paraId="169268B9" w14:textId="77777777" w:rsidR="009D6FB1" w:rsidRPr="002857DE" w:rsidRDefault="009D6FB1" w:rsidP="009D6FB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Capacitatea de 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explica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interpreta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procese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fenomene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stări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teorii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idei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tendinţe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circumscrise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domeniului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9C84F5C" w14:textId="15EE326B" w:rsidR="009D6FB1" w:rsidRPr="002857DE" w:rsidRDefault="009D6FB1" w:rsidP="009D6FB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înţelegerea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aplicarea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metodelor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certificare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calităţii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studiilor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conformitate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competențele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stabilite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.</w:t>
            </w:r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Tehnici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dobândire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cetățeniei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exercițiul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drepturilor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cetățenești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spațiul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UE.</w:t>
            </w:r>
          </w:p>
          <w:p w14:paraId="2449163D" w14:textId="2DF75EA2" w:rsidR="009D6FB1" w:rsidRPr="002857DE" w:rsidRDefault="009D6FB1" w:rsidP="009D6FB1">
            <w:pPr>
              <w:widowControl/>
              <w:autoSpaceDE/>
              <w:autoSpaceDN/>
              <w:ind w:left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>(CP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2,CP4,CP6,CP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10, CT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1,CT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14:paraId="71452B1E" w14:textId="64994134" w:rsidR="00CF695C" w:rsidRPr="002857DE" w:rsidRDefault="00CF695C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B84FD87" w14:textId="77777777" w:rsidR="00CF695C" w:rsidRPr="002857DE" w:rsidRDefault="00CF695C" w:rsidP="00CF695C">
      <w:pPr>
        <w:pStyle w:val="BodyText"/>
        <w:spacing w:before="2"/>
        <w:rPr>
          <w:sz w:val="20"/>
          <w:szCs w:val="20"/>
          <w:lang w:val="ro-RO"/>
        </w:rPr>
      </w:pPr>
    </w:p>
    <w:p w14:paraId="57FED87E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2508"/>
        <w:gridCol w:w="1417"/>
      </w:tblGrid>
      <w:tr w:rsidR="00675224" w:rsidRPr="002857DE" w14:paraId="69268CEA" w14:textId="77777777" w:rsidTr="00700208">
        <w:trPr>
          <w:trHeight w:val="215"/>
        </w:trPr>
        <w:tc>
          <w:tcPr>
            <w:tcW w:w="4957" w:type="dxa"/>
          </w:tcPr>
          <w:p w14:paraId="66C4394E" w14:textId="77777777" w:rsidR="00CF695C" w:rsidRPr="002857DE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2857D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508" w:type="dxa"/>
          </w:tcPr>
          <w:p w14:paraId="30066BD6" w14:textId="77777777" w:rsidR="00CF695C" w:rsidRPr="002857DE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417" w:type="dxa"/>
          </w:tcPr>
          <w:p w14:paraId="0163B515" w14:textId="77777777" w:rsidR="00CF695C" w:rsidRPr="002857DE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Observații</w:t>
            </w:r>
          </w:p>
        </w:tc>
      </w:tr>
      <w:tr w:rsidR="00700208" w:rsidRPr="002857DE" w14:paraId="5AEC637D" w14:textId="77777777" w:rsidTr="00700208">
        <w:trPr>
          <w:trHeight w:val="228"/>
        </w:trPr>
        <w:tc>
          <w:tcPr>
            <w:tcW w:w="4957" w:type="dxa"/>
          </w:tcPr>
          <w:p w14:paraId="53C65109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Procesul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integrării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conceptul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europeană</w:t>
            </w:r>
            <w:proofErr w:type="spellEnd"/>
          </w:p>
          <w:p w14:paraId="06F8E63F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15A5B9C9" w14:textId="2181BBE3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1D4FEA8" w14:textId="6DC3800F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prelegerea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dezbateri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333A3412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0B0046E7" w14:textId="77777777" w:rsidTr="00700208">
        <w:trPr>
          <w:trHeight w:val="230"/>
        </w:trPr>
        <w:tc>
          <w:tcPr>
            <w:tcW w:w="4957" w:type="dxa"/>
          </w:tcPr>
          <w:p w14:paraId="7A1FAE91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Cetăţenia europeană şi drepturile cetăţeneşti.</w:t>
            </w:r>
          </w:p>
          <w:p w14:paraId="39B1A128" w14:textId="77777777" w:rsidR="00700208" w:rsidRPr="002857DE" w:rsidRDefault="00700208" w:rsidP="00700208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6E8040D6" w14:textId="0618B366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4944529E" w14:textId="0014BDD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5D22616C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5061A891" w14:textId="77777777" w:rsidTr="00700208">
        <w:trPr>
          <w:trHeight w:val="228"/>
        </w:trPr>
        <w:tc>
          <w:tcPr>
            <w:tcW w:w="4957" w:type="dxa"/>
          </w:tcPr>
          <w:p w14:paraId="2C78EAE3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Drepturile politice conferite de cetăţenia europeană.</w:t>
            </w:r>
          </w:p>
          <w:p w14:paraId="24ACB727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10FB2598" w14:textId="2D3C95B8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0DDDE434" w14:textId="36C43E85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14886A45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10F46706" w14:textId="77777777" w:rsidTr="00700208">
        <w:trPr>
          <w:trHeight w:val="228"/>
        </w:trPr>
        <w:tc>
          <w:tcPr>
            <w:tcW w:w="4957" w:type="dxa"/>
          </w:tcPr>
          <w:p w14:paraId="35D7C3D5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Dreptul cetăţeanului european ca şi consumator comunitar.</w:t>
            </w:r>
          </w:p>
          <w:p w14:paraId="5EA2B3A7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22D2E9AF" w14:textId="60765B0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05B9427" w14:textId="219F447E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244F4AC6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52B8BADB" w14:textId="77777777" w:rsidTr="00700208">
        <w:trPr>
          <w:trHeight w:val="228"/>
        </w:trPr>
        <w:tc>
          <w:tcPr>
            <w:tcW w:w="4957" w:type="dxa"/>
          </w:tcPr>
          <w:p w14:paraId="31809327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cetăţeanului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a se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adresa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mediatorului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BC1552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7E8AB8F0" w14:textId="650E9454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AE5BA56" w14:textId="76136485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4A2A457D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522678DE" w14:textId="77777777" w:rsidTr="00700208">
        <w:trPr>
          <w:trHeight w:val="228"/>
        </w:trPr>
        <w:tc>
          <w:tcPr>
            <w:tcW w:w="4957" w:type="dxa"/>
          </w:tcPr>
          <w:p w14:paraId="2C9A11AA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Instituţia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Mediatorului</w:t>
            </w:r>
            <w:proofErr w:type="spellEnd"/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European</w:t>
            </w:r>
          </w:p>
          <w:p w14:paraId="11BEBD87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5D79AF0B" w14:textId="4637A47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03D3262" w14:textId="61043ED8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66C296F7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74B308D9" w14:textId="77777777" w:rsidTr="00700208">
        <w:trPr>
          <w:trHeight w:val="228"/>
        </w:trPr>
        <w:tc>
          <w:tcPr>
            <w:tcW w:w="4957" w:type="dxa"/>
          </w:tcPr>
          <w:p w14:paraId="2DA48013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Uniunea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drepturile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omului</w:t>
            </w:r>
            <w:proofErr w:type="spellEnd"/>
          </w:p>
          <w:p w14:paraId="798A2395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438415E5" w14:textId="2F5BAB0A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3D48DB51" w14:textId="7AEBE079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2F128632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0DBFD87F" w14:textId="77777777" w:rsidTr="00700208">
        <w:trPr>
          <w:trHeight w:val="228"/>
        </w:trPr>
        <w:tc>
          <w:tcPr>
            <w:tcW w:w="4957" w:type="dxa"/>
          </w:tcPr>
          <w:p w14:paraId="1AD22029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Protecţia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diplomatică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europeni</w:t>
            </w:r>
            <w:proofErr w:type="spellEnd"/>
          </w:p>
          <w:p w14:paraId="745D3C3C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37DCBC4A" w14:textId="7DEC77DB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A302B57" w14:textId="460F7366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14FB74E3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75A0EAD9" w14:textId="77777777" w:rsidTr="00700208">
        <w:trPr>
          <w:trHeight w:val="228"/>
        </w:trPr>
        <w:tc>
          <w:tcPr>
            <w:tcW w:w="4957" w:type="dxa"/>
          </w:tcPr>
          <w:p w14:paraId="0A2894C6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Natura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juridică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cetăţeniei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</w:p>
          <w:p w14:paraId="29ED8980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18C0AB8D" w14:textId="01C6F8B2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3281EE9B" w14:textId="59CAEA3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- expunerea; prelegerea; dezbateri; problematizarea;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analiza de caz; jocul de rol.</w:t>
            </w:r>
          </w:p>
        </w:tc>
        <w:tc>
          <w:tcPr>
            <w:tcW w:w="1417" w:type="dxa"/>
          </w:tcPr>
          <w:p w14:paraId="3DAB747E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7C861175" w14:textId="77777777" w:rsidTr="00700208">
        <w:trPr>
          <w:trHeight w:val="228"/>
        </w:trPr>
        <w:tc>
          <w:tcPr>
            <w:tcW w:w="4957" w:type="dxa"/>
          </w:tcPr>
          <w:p w14:paraId="2D293910" w14:textId="51E0152B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circula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liber in UE</w:t>
            </w:r>
          </w:p>
        </w:tc>
        <w:tc>
          <w:tcPr>
            <w:tcW w:w="752" w:type="dxa"/>
          </w:tcPr>
          <w:p w14:paraId="217ED988" w14:textId="242740CA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A6BEB29" w14:textId="58874758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39293293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2404E418" w14:textId="77777777" w:rsidTr="00700208">
        <w:trPr>
          <w:trHeight w:val="228"/>
        </w:trPr>
        <w:tc>
          <w:tcPr>
            <w:tcW w:w="4957" w:type="dxa"/>
          </w:tcPr>
          <w:p w14:paraId="1C98F707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Uniunea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drepturile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omului</w:t>
            </w:r>
            <w:proofErr w:type="spellEnd"/>
          </w:p>
          <w:p w14:paraId="744DE6D6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6B9DA57D" w14:textId="7797027F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9E28F18" w14:textId="58C8EA3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239847BD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71104B7A" w14:textId="77777777" w:rsidTr="00700208">
        <w:trPr>
          <w:trHeight w:val="228"/>
        </w:trPr>
        <w:tc>
          <w:tcPr>
            <w:tcW w:w="4957" w:type="dxa"/>
          </w:tcPr>
          <w:p w14:paraId="33498A4E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Conţinutul Cartei Drepturilor Fundamentale a UE</w:t>
            </w:r>
          </w:p>
          <w:p w14:paraId="554165BC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48E8CBBE" w14:textId="157906A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5DD1ED4" w14:textId="2ECEF5E3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2EF46696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200607AD" w14:textId="77777777" w:rsidTr="00700208">
        <w:trPr>
          <w:trHeight w:val="228"/>
        </w:trPr>
        <w:tc>
          <w:tcPr>
            <w:tcW w:w="4957" w:type="dxa"/>
          </w:tcPr>
          <w:p w14:paraId="274BA61C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Drepturile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politice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cetățenilor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Europeni</w:t>
            </w:r>
            <w:proofErr w:type="spellEnd"/>
          </w:p>
          <w:p w14:paraId="3DFA0383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3B657AC1" w14:textId="220707F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3F230080" w14:textId="54BBC32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3CD705CB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C60AE7" w14:paraId="5D96794F" w14:textId="77777777" w:rsidTr="00700208">
        <w:trPr>
          <w:trHeight w:val="228"/>
        </w:trPr>
        <w:tc>
          <w:tcPr>
            <w:tcW w:w="4957" w:type="dxa"/>
          </w:tcPr>
          <w:p w14:paraId="240B037E" w14:textId="1C30367F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Libertatea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cuvântului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delictele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presă</w:t>
            </w:r>
          </w:p>
        </w:tc>
        <w:tc>
          <w:tcPr>
            <w:tcW w:w="752" w:type="dxa"/>
          </w:tcPr>
          <w:p w14:paraId="5591BE28" w14:textId="1F11FFEF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5338E603" w14:textId="4239B5A2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48DCE6FE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2857DE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5E2C968B" w14:textId="77777777" w:rsidR="00700208" w:rsidRPr="002857DE" w:rsidRDefault="00700208" w:rsidP="00700208">
            <w:pPr>
              <w:pStyle w:val="TableParagraph"/>
              <w:ind w:left="102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</w:p>
          <w:p w14:paraId="4D8C91CD" w14:textId="7DD136B4" w:rsidR="00700208" w:rsidRPr="002857DE" w:rsidRDefault="00700208" w:rsidP="00700208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700208" w:rsidRPr="00C60AE7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410F8456" w14:textId="62D9F484" w:rsidR="00700208" w:rsidRPr="002857DE" w:rsidRDefault="00700208" w:rsidP="00700208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>1.Nemțoi Gabriela</w:t>
            </w:r>
            <w:r w:rsidRPr="002857D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constituțional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instituții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publice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: note de curs, Ed</w:t>
            </w:r>
            <w:r w:rsidRPr="002857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 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Editura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Didactică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şi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Pedagogică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,</w:t>
            </w:r>
            <w:r w:rsidRPr="002857DE">
              <w:rPr>
                <w:rStyle w:val="Strong"/>
                <w:rFonts w:ascii="Times New Roman" w:hAnsi="Times New Roman"/>
                <w:sz w:val="20"/>
                <w:szCs w:val="20"/>
              </w:rPr>
              <w:t xml:space="preserve">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  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       ISBN 978-973-30-3532-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9, 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, 2013</w:t>
            </w:r>
          </w:p>
          <w:p w14:paraId="37A32812" w14:textId="059BB202" w:rsidR="00700208" w:rsidRPr="002857DE" w:rsidRDefault="00700208" w:rsidP="00700208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Nemțoi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Gabriela ,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Cetățenie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European, support de curs 2025</w:t>
            </w:r>
          </w:p>
          <w:p w14:paraId="0B54AE63" w14:textId="05F78D3D" w:rsidR="00700208" w:rsidRPr="002857DE" w:rsidRDefault="00700208" w:rsidP="00700208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 w:eastAsia="ro-RO"/>
              </w:rPr>
              <w:t xml:space="preserve">3.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Protecția internațională a drepturilor omului. Note de curs. Ediția a II-a / Laura-Cristiana Spătaru-Negură. - București : Editura Hamangiu, 2024, 362 p. ; 21 cm, ISBN 978-606-27-2460-3, cota II 58253</w:t>
            </w:r>
          </w:p>
          <w:p w14:paraId="4AB2C8F5" w14:textId="531F29C9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4.Protecția internațională a drepturilor omului. Caiet de seminar / Laura-Cristiana Spătaru-Negură. – București : Editura Hamangiu, 2023, 235 p. ; 21 cm, ISBN 978-606-27-2237-1, cota II 58281</w:t>
            </w:r>
          </w:p>
          <w:p w14:paraId="47D4334C" w14:textId="383EBC9C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5.Protecția europeană a drepturilor omului. </w:t>
            </w: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Ediția a VI-a / Bianca Selejan-Gutan. - București : Editura Hamangiu, 2023, XVII, 496 p. : tab. ; 24 cm - (Carte universitară), ISBN 978-606-27-2219-7, cota III 28302</w:t>
            </w:r>
          </w:p>
          <w:p w14:paraId="32C0D1B6" w14:textId="1460B35F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6.Tratat de drepturile omului / Nicolae Voiculescu, Beatrice Maria Berna. – București : Editura Universul Juridic, 2023, 1150 p. ; 24 cm – (Tratate), ISBN 978-606-39-1208-5, cota III 28276</w:t>
            </w:r>
          </w:p>
          <w:p w14:paraId="2A3A0A8F" w14:textId="64B157C5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7.Mozaic de drept internațional și drepturile omului / Aurora Ciucă. - București : Editura Universul Juridic, 2024, 194 p. : fotogr. ; 20 cm, ISBN 978-606-39-1437-9, cota II 58099</w:t>
            </w: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ab/>
            </w:r>
          </w:p>
          <w:p w14:paraId="0FB3E8D1" w14:textId="2BDC1962" w:rsidR="00700208" w:rsidRPr="002857DE" w:rsidRDefault="00700208" w:rsidP="00700208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8.Dreptul Uniunii Europene. Spațiul de libertate, securitate și justiție / Despina-Martha Iluță. - București : Editura Hamangiu, 2024, 234 p. : 21 cm, ISBN 978-606-27-2685-0, cota II 58255</w:t>
            </w:r>
          </w:p>
          <w:p w14:paraId="03F75DBD" w14:textId="1BF928EC" w:rsidR="00700208" w:rsidRPr="002857DE" w:rsidRDefault="00700208" w:rsidP="00700208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9.Dreptul Uniunii Europene I. Curs universitar / Mihaela Augustina Niță (Dumitrașcu). – București : Editura Universul Juridic, 2023, 400 p. ; 20 cm – (Cursuri universitare), ISBN 978-606-39-1243-6, cota II 58267</w:t>
            </w:r>
          </w:p>
          <w:p w14:paraId="49EFBE26" w14:textId="74FDA0D2" w:rsidR="00700208" w:rsidRPr="002857DE" w:rsidRDefault="00700208" w:rsidP="00700208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01C0E4B4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329"/>
        <w:gridCol w:w="1559"/>
      </w:tblGrid>
      <w:tr w:rsidR="00675224" w:rsidRPr="002857DE" w14:paraId="400AE594" w14:textId="77777777" w:rsidTr="002857DE">
        <w:trPr>
          <w:trHeight w:val="215"/>
        </w:trPr>
        <w:tc>
          <w:tcPr>
            <w:tcW w:w="4957" w:type="dxa"/>
          </w:tcPr>
          <w:p w14:paraId="60126B96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2857D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329" w:type="dxa"/>
          </w:tcPr>
          <w:p w14:paraId="13043F3C" w14:textId="77777777" w:rsidR="00CF695C" w:rsidRPr="002857DE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559" w:type="dxa"/>
          </w:tcPr>
          <w:p w14:paraId="24FAAEA6" w14:textId="77777777" w:rsidR="00CF695C" w:rsidRPr="002857DE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Observații</w:t>
            </w:r>
          </w:p>
        </w:tc>
      </w:tr>
      <w:tr w:rsidR="002857DE" w:rsidRPr="002857DE" w14:paraId="6DAA9999" w14:textId="77777777" w:rsidTr="002857DE">
        <w:trPr>
          <w:trHeight w:val="228"/>
        </w:trPr>
        <w:tc>
          <w:tcPr>
            <w:tcW w:w="4957" w:type="dxa"/>
          </w:tcPr>
          <w:p w14:paraId="7D163F58" w14:textId="513BB9C9" w:rsidR="002857DE" w:rsidRPr="002857DE" w:rsidRDefault="002857DE" w:rsidP="002857D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1.Ideea de Europă Unită și efectul său asupra populației</w:t>
            </w:r>
          </w:p>
        </w:tc>
        <w:tc>
          <w:tcPr>
            <w:tcW w:w="789" w:type="dxa"/>
          </w:tcPr>
          <w:p w14:paraId="59891857" w14:textId="10E9A211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43DE622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45688B7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problematizarea</w:t>
            </w:r>
            <w:proofErr w:type="spellEnd"/>
          </w:p>
          <w:p w14:paraId="7B77A7BB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</w:tcPr>
          <w:p w14:paraId="386AA0E1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0C2DC91D" w14:textId="77777777" w:rsidTr="002857DE">
        <w:trPr>
          <w:trHeight w:val="228"/>
        </w:trPr>
        <w:tc>
          <w:tcPr>
            <w:tcW w:w="4957" w:type="dxa"/>
          </w:tcPr>
          <w:p w14:paraId="44D375D2" w14:textId="7B532683" w:rsidR="002857DE" w:rsidRPr="002857DE" w:rsidRDefault="002857DE" w:rsidP="002857D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2.Tratatul de la Lisabona principalul cadrul legislativ care definește cetățenia europeană</w:t>
            </w:r>
          </w:p>
        </w:tc>
        <w:tc>
          <w:tcPr>
            <w:tcW w:w="789" w:type="dxa"/>
          </w:tcPr>
          <w:p w14:paraId="7F5BE136" w14:textId="568C7C66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02DBD25A" w14:textId="56BB83DC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46217261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33ABECC3" w14:textId="77777777" w:rsidTr="002857DE">
        <w:trPr>
          <w:trHeight w:val="230"/>
        </w:trPr>
        <w:tc>
          <w:tcPr>
            <w:tcW w:w="4957" w:type="dxa"/>
          </w:tcPr>
          <w:p w14:paraId="538907CB" w14:textId="3FF96F45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3.Conexiuni privind drepturile omului și ideea de cetățenie europeană</w:t>
            </w:r>
          </w:p>
        </w:tc>
        <w:tc>
          <w:tcPr>
            <w:tcW w:w="789" w:type="dxa"/>
          </w:tcPr>
          <w:p w14:paraId="4AFCE1AB" w14:textId="50D41E4B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626A3EAD" w14:textId="72BE8621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20F35FB8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3204B0F8" w14:textId="77777777" w:rsidTr="002857DE">
        <w:trPr>
          <w:trHeight w:val="230"/>
        </w:trPr>
        <w:tc>
          <w:tcPr>
            <w:tcW w:w="4957" w:type="dxa"/>
          </w:tcPr>
          <w:p w14:paraId="54855068" w14:textId="5F2E7152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4.Evoluții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istorice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cetăţenia</w:t>
            </w:r>
            <w:proofErr w:type="spellEnd"/>
          </w:p>
        </w:tc>
        <w:tc>
          <w:tcPr>
            <w:tcW w:w="789" w:type="dxa"/>
          </w:tcPr>
          <w:p w14:paraId="196A9700" w14:textId="7BCBE58E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292FA016" w14:textId="122C9FD2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231D319A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1B146BA6" w14:textId="77777777" w:rsidTr="002857DE">
        <w:trPr>
          <w:trHeight w:val="230"/>
        </w:trPr>
        <w:tc>
          <w:tcPr>
            <w:tcW w:w="4957" w:type="dxa"/>
          </w:tcPr>
          <w:p w14:paraId="72C1F3FE" w14:textId="13BE4D07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5.Drepturile omului prevăzute prin statutul de cetăţenie europeană</w:t>
            </w:r>
          </w:p>
        </w:tc>
        <w:tc>
          <w:tcPr>
            <w:tcW w:w="789" w:type="dxa"/>
          </w:tcPr>
          <w:p w14:paraId="15BA4BF1" w14:textId="206550C2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270008FC" w14:textId="54FBEA45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</w:t>
            </w:r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 xml:space="preserve">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47657A5F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73477D90" w14:textId="77777777" w:rsidTr="002857DE">
        <w:trPr>
          <w:trHeight w:val="230"/>
        </w:trPr>
        <w:tc>
          <w:tcPr>
            <w:tcW w:w="4957" w:type="dxa"/>
          </w:tcPr>
          <w:p w14:paraId="12E8921A" w14:textId="069DD126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858A3">
              <w:rPr>
                <w:rFonts w:ascii="Times New Roman" w:hAnsi="Times New Roman"/>
                <w:sz w:val="20"/>
                <w:szCs w:val="20"/>
              </w:rPr>
              <w:t xml:space="preserve">6.Terorismul un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fenomen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încălcare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drepturilor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omului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spațiul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European</w:t>
            </w:r>
          </w:p>
        </w:tc>
        <w:tc>
          <w:tcPr>
            <w:tcW w:w="789" w:type="dxa"/>
          </w:tcPr>
          <w:p w14:paraId="7F39B008" w14:textId="18CA5CB8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632312C6" w14:textId="5F572EA2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5394171C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1A4BEB0E" w14:textId="77777777" w:rsidTr="002857DE">
        <w:trPr>
          <w:trHeight w:val="230"/>
        </w:trPr>
        <w:tc>
          <w:tcPr>
            <w:tcW w:w="4957" w:type="dxa"/>
          </w:tcPr>
          <w:p w14:paraId="70AF81D2" w14:textId="6F6D5CD8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7.Conexiuni privind mijloacele interne și externe  de protecție a drepturilor omului</w:t>
            </w:r>
          </w:p>
        </w:tc>
        <w:tc>
          <w:tcPr>
            <w:tcW w:w="789" w:type="dxa"/>
          </w:tcPr>
          <w:p w14:paraId="18144D67" w14:textId="76DB03B4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5DEA227C" w14:textId="2EA4E753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7A39E67B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480600D9" w14:textId="77777777" w:rsidTr="002857DE">
        <w:trPr>
          <w:trHeight w:val="230"/>
        </w:trPr>
        <w:tc>
          <w:tcPr>
            <w:tcW w:w="4957" w:type="dxa"/>
          </w:tcPr>
          <w:p w14:paraId="324DFF96" w14:textId="77777777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89" w:type="dxa"/>
          </w:tcPr>
          <w:p w14:paraId="7552E2F3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329" w:type="dxa"/>
          </w:tcPr>
          <w:p w14:paraId="07D96CBB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</w:tcPr>
          <w:p w14:paraId="3B2CFD81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2857DE" w:rsidRPr="002857DE" w:rsidRDefault="002857DE" w:rsidP="002857DE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2857DE" w:rsidRPr="00C60AE7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5B66FE42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>1.Nemțoi Gabriela</w:t>
            </w:r>
            <w:r w:rsidRPr="002857D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constituțional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instituții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publice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: note de curs, Ed</w:t>
            </w:r>
            <w:r w:rsidRPr="002857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 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Editura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Didactică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şi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Pedagogică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,</w:t>
            </w:r>
            <w:r w:rsidRPr="002857DE">
              <w:rPr>
                <w:rStyle w:val="Strong"/>
                <w:rFonts w:ascii="Times New Roman" w:hAnsi="Times New Roman"/>
                <w:sz w:val="20"/>
                <w:szCs w:val="20"/>
              </w:rPr>
              <w:t xml:space="preserve">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  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       ISBN 978-973-30-3532-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9, 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, 2013</w:t>
            </w:r>
          </w:p>
          <w:p w14:paraId="1935179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Nemțoi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Gabriela ,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Cetățenie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European, support de curs 2025</w:t>
            </w:r>
          </w:p>
          <w:p w14:paraId="24D71875" w14:textId="77777777" w:rsidR="002857DE" w:rsidRPr="002857DE" w:rsidRDefault="002857DE" w:rsidP="002857DE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 w:eastAsia="ro-RO"/>
              </w:rPr>
              <w:t xml:space="preserve">3.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Protecția internațională a drepturilor omului. Note de curs. Ediția a II-a / Laura-Cristiana Spătaru-Negură. - București : Editura Hamangiu, 2024, 362 p. ; 21 cm, ISBN 978-606-27-2460-3, cota II 58253</w:t>
            </w:r>
          </w:p>
          <w:p w14:paraId="6AD20C1B" w14:textId="77777777" w:rsidR="002857DE" w:rsidRPr="002857DE" w:rsidRDefault="002857DE" w:rsidP="002857DE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4.Protecția internațională a drepturilor omului. Caiet de seminar / Laura-Cristiana Spătaru-Negură. – București : Editura Hamangiu, 2023, 235 p. ; 21 cm, ISBN 978-606-27-2237-1, cota II 58281</w:t>
            </w:r>
          </w:p>
          <w:p w14:paraId="17274C37" w14:textId="77777777" w:rsidR="002857DE" w:rsidRPr="002857DE" w:rsidRDefault="002857DE" w:rsidP="002857DE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5.Protecția europeană a drepturilor omului. </w:t>
            </w: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Ediția a VI-a / Bianca Selejan-Gutan. - București : Editura Hamangiu, 2023, XVII, 496 p. : tab. ; 24 cm - (Carte universitară), ISBN 978-606-27-2219-7, cota III 28302</w:t>
            </w:r>
          </w:p>
          <w:p w14:paraId="59A39CBE" w14:textId="77777777" w:rsidR="002857DE" w:rsidRPr="002857DE" w:rsidRDefault="002857DE" w:rsidP="002857DE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6.Tratat de drepturile omului / Nicolae Voiculescu, Beatrice Maria Berna. – București : Editura Universul Juridic, 2023, 1150 p. ; 24 cm – (Tratate), ISBN 978-606-39-1208-5, cota III 28276</w:t>
            </w:r>
          </w:p>
          <w:p w14:paraId="6C666A1C" w14:textId="77777777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47EB2CAA" w14:textId="77777777" w:rsidR="00CF695C" w:rsidRPr="002857DE" w:rsidRDefault="00CF695C" w:rsidP="00CF695C">
      <w:pPr>
        <w:pStyle w:val="BodyText"/>
        <w:spacing w:before="2"/>
        <w:rPr>
          <w:b/>
          <w:sz w:val="20"/>
          <w:szCs w:val="20"/>
          <w:lang w:val="ro-RO"/>
        </w:rPr>
      </w:pPr>
    </w:p>
    <w:p w14:paraId="241D5A50" w14:textId="77777777" w:rsidR="00CF695C" w:rsidRPr="002857DE" w:rsidRDefault="00CF695C" w:rsidP="00CF695C">
      <w:pPr>
        <w:pStyle w:val="BodyText"/>
        <w:spacing w:before="7"/>
        <w:rPr>
          <w:b/>
          <w:sz w:val="20"/>
          <w:szCs w:val="20"/>
          <w:lang w:val="ro-RO"/>
        </w:rPr>
      </w:pPr>
    </w:p>
    <w:p w14:paraId="151E7FC3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2857DE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2857DE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2857DE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2857DE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2857DE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Pondere din nota finală</w:t>
            </w:r>
          </w:p>
        </w:tc>
      </w:tr>
      <w:tr w:rsidR="00675224" w:rsidRPr="002857DE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2857D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Curs</w:t>
            </w:r>
          </w:p>
        </w:tc>
        <w:tc>
          <w:tcPr>
            <w:tcW w:w="4175" w:type="dxa"/>
          </w:tcPr>
          <w:p w14:paraId="65BBAA94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Utilizarea tehnologiilor informatice pentru activități specifice.</w:t>
            </w:r>
          </w:p>
          <w:p w14:paraId="525FC90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Capacitatea de a acționa independent și creativ, de a evalua obiectiv și constructiv </w:t>
            </w:r>
          </w:p>
          <w:p w14:paraId="3FB04DFD" w14:textId="77777777" w:rsidR="002857DE" w:rsidRPr="00B858A3" w:rsidRDefault="002857DE" w:rsidP="002857DE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pt-BR"/>
              </w:rPr>
              <w:t>stări critice , de a rezolva creativ problemele și de a comunica rezultatele în mod convingător.</w:t>
            </w:r>
          </w:p>
          <w:p w14:paraId="69ACB614" w14:textId="77777777" w:rsidR="002857DE" w:rsidRPr="00B858A3" w:rsidRDefault="002857DE" w:rsidP="002857DE">
            <w:pPr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Culegerea, sintetizarea, analiza și interpretarea datelor și informațiilor din domeniu public </w:t>
            </w:r>
          </w:p>
          <w:p w14:paraId="6AE957D3" w14:textId="0ECA25BB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european. Dezvoltarea unor tehnici specializate de acțiune în domeniu ( analiză statistică , evaluare etc). Aplicarea conceptelor, teoriilor și metodelor de investigare fundamentale </w:t>
            </w:r>
          </w:p>
          <w:p w14:paraId="14DB1B36" w14:textId="77777777" w:rsidR="002857DE" w:rsidRPr="002857DE" w:rsidRDefault="002857DE" w:rsidP="002857DE">
            <w:pPr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din domeniul de studiu pentru formularea de proiecte și demersuri profesionale specifice</w:t>
            </w:r>
          </w:p>
          <w:p w14:paraId="34AFAD47" w14:textId="77777777" w:rsidR="002857DE" w:rsidRPr="00B858A3" w:rsidRDefault="002857DE" w:rsidP="002857DE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administrației comunitare.</w:t>
            </w:r>
          </w:p>
          <w:p w14:paraId="21D20EEF" w14:textId="288DFCA5" w:rsidR="002857DE" w:rsidRPr="002857DE" w:rsidRDefault="002857DE" w:rsidP="002857DE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(CP2,CP4,CP6, CP10, CT1,CT2)</w:t>
            </w:r>
          </w:p>
          <w:p w14:paraId="2EB848BD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405" w:type="dxa"/>
          </w:tcPr>
          <w:p w14:paraId="7EEAE57A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scris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2857DE">
              <w:rPr>
                <w:rStyle w:val="BodyTextChar1"/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verificarea orală a gradului de îndeplinire a cerințelor în lucrarea scrisă</w:t>
            </w:r>
          </w:p>
          <w:p w14:paraId="6ECB425D" w14:textId="77777777" w:rsidR="00CF695C" w:rsidRPr="002857D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06BDE379" w14:textId="5A6C9FCD" w:rsidR="00CF695C" w:rsidRPr="002857DE" w:rsidRDefault="002857D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675224" w:rsidRPr="002857DE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2857D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175" w:type="dxa"/>
          </w:tcPr>
          <w:p w14:paraId="57B628B5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Culegerea, analiza și interpretarea de date și informații din punct de vedere </w:t>
            </w:r>
          </w:p>
          <w:p w14:paraId="024493A8" w14:textId="77777777" w:rsidR="002857DE" w:rsidRPr="002857DE" w:rsidRDefault="002857DE" w:rsidP="002857DE">
            <w:pPr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cantitativ și calitativ  din diverse surse alternative, respectiv din contexte profesionale </w:t>
            </w:r>
          </w:p>
          <w:p w14:paraId="1BE136BA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reale și din literatura de specialitate în domeniu, pentru formularea de argumente, </w:t>
            </w:r>
          </w:p>
          <w:p w14:paraId="3B3C0487" w14:textId="011B0636" w:rsidR="002857DE" w:rsidRPr="00B858A3" w:rsidRDefault="002857DE" w:rsidP="002857DE">
            <w:pPr>
              <w:pStyle w:val="TableParagraph"/>
              <w:ind w:left="5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decizii și demersuri concrete. </w:t>
            </w: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Nivelul de implicare activă și inițiativa manifestată în dezbateri, discuții </w:t>
            </w: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lastRenderedPageBreak/>
              <w:t>și activități de seminar.</w:t>
            </w:r>
          </w:p>
          <w:p w14:paraId="08868EE1" w14:textId="1676B690" w:rsidR="002857DE" w:rsidRPr="00B858A3" w:rsidRDefault="002857DE" w:rsidP="002857DE">
            <w:pPr>
              <w:pStyle w:val="TableParagraph"/>
              <w:ind w:left="5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- Calitatea colaborării și a contribuției personale în lucrul pe echipă și în prezentarea studiilor de caz.</w:t>
            </w:r>
          </w:p>
          <w:p w14:paraId="29FD34DF" w14:textId="1FF0BA58" w:rsidR="002857DE" w:rsidRPr="00B858A3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- Aplicarea corectă a indicatorilor de performanță în exercițiile și studiile de caz privind serviciile publice descentralizate</w:t>
            </w:r>
            <w:r w:rsidR="00DE3A19" w:rsidRPr="00B858A3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21380839" w14:textId="77777777" w:rsidR="00DE3A19" w:rsidRPr="00B858A3" w:rsidRDefault="00DE3A19" w:rsidP="00DE3A19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(CP2,CP4,CP6, CP10, CT1,CT2)</w:t>
            </w:r>
          </w:p>
          <w:p w14:paraId="5E7748FD" w14:textId="77777777" w:rsidR="00DE3A19" w:rsidRPr="00B858A3" w:rsidRDefault="00DE3A19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6F4833E6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14:paraId="5E18ABEB" w14:textId="77777777" w:rsidR="002857DE" w:rsidRPr="002857DE" w:rsidRDefault="002857DE" w:rsidP="002857DE">
            <w:pPr>
              <w:pStyle w:val="Other0"/>
              <w:tabs>
                <w:tab w:val="left" w:pos="187"/>
              </w:tabs>
              <w:ind w:left="57" w:righ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7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Evaluare continuă pe parcursul semestrului, pe baza: </w:t>
            </w:r>
          </w:p>
          <w:p w14:paraId="73882EEF" w14:textId="77777777" w:rsidR="002857DE" w:rsidRPr="002857DE" w:rsidRDefault="002857DE" w:rsidP="002857DE">
            <w:pPr>
              <w:pStyle w:val="Other0"/>
              <w:tabs>
                <w:tab w:val="left" w:pos="187"/>
              </w:tabs>
              <w:ind w:left="57" w:righ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7DE">
              <w:rPr>
                <w:rFonts w:ascii="Times New Roman" w:hAnsi="Times New Roman" w:cs="Times New Roman"/>
                <w:sz w:val="20"/>
                <w:szCs w:val="20"/>
              </w:rPr>
              <w:t xml:space="preserve">- intervențiilor/ implicării masteranzilor pe parcursul </w:t>
            </w:r>
            <w:proofErr w:type="spellStart"/>
            <w:r w:rsidRPr="002857DE">
              <w:rPr>
                <w:rFonts w:ascii="Times New Roman" w:hAnsi="Times New Roman" w:cs="Times New Roman"/>
                <w:sz w:val="20"/>
                <w:szCs w:val="20"/>
              </w:rPr>
              <w:t>activitatilor</w:t>
            </w:r>
            <w:proofErr w:type="spellEnd"/>
            <w:r w:rsidRPr="002857DE">
              <w:rPr>
                <w:rFonts w:ascii="Times New Roman" w:hAnsi="Times New Roman" w:cs="Times New Roman"/>
                <w:sz w:val="20"/>
                <w:szCs w:val="20"/>
              </w:rPr>
              <w:t xml:space="preserve"> de seminar;</w:t>
            </w:r>
          </w:p>
          <w:p w14:paraId="4A7D7B7D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- activităţilor individuale şi de grup desfășurate în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 xml:space="preserve">cadrul seminarelor; </w:t>
            </w:r>
          </w:p>
          <w:p w14:paraId="4AF73D35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- notei obținute la testul docimologic din cadrul evaluării pe parcurs;</w:t>
            </w:r>
          </w:p>
          <w:p w14:paraId="09F3E915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- susținerii unui referat;</w:t>
            </w:r>
          </w:p>
          <w:p w14:paraId="6D418166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- prezentării de studii de caz pe teme legate de specificul disciplinei</w:t>
            </w:r>
          </w:p>
          <w:p w14:paraId="3FFBF025" w14:textId="050E1DCB" w:rsidR="00CF695C" w:rsidRPr="002857DE" w:rsidRDefault="002857DE" w:rsidP="002857D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Activitatea pe parcurs poate fi echivalată prin întocmirea unui portofoliu, prezentat în fața titularului de seminar, care să abordeze tematicile stabilite pentru fiecare din activitățile de seminar la care a lipsit</w:t>
            </w:r>
          </w:p>
        </w:tc>
        <w:tc>
          <w:tcPr>
            <w:tcW w:w="1558" w:type="dxa"/>
          </w:tcPr>
          <w:p w14:paraId="3F38A35E" w14:textId="22C88978" w:rsidR="00CF695C" w:rsidRPr="002857DE" w:rsidRDefault="002857D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50%</w:t>
            </w:r>
          </w:p>
        </w:tc>
      </w:tr>
      <w:tr w:rsidR="00675224" w:rsidRPr="002857DE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2857DE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Laborator/</w:t>
            </w:r>
          </w:p>
          <w:p w14:paraId="1D4B4C34" w14:textId="77777777" w:rsidR="00CF695C" w:rsidRPr="002857DE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</w:t>
            </w:r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ucrări</w:t>
            </w: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 </w:t>
            </w:r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2857D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2857DE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2857DE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2857D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5E937CD" w14:textId="77777777" w:rsidR="002857DE" w:rsidRPr="002857DE" w:rsidRDefault="002857DE" w:rsidP="002857DE">
      <w:pPr>
        <w:pStyle w:val="BodyText"/>
        <w:spacing w:before="3"/>
        <w:ind w:firstLine="708"/>
        <w:jc w:val="both"/>
        <w:rPr>
          <w:bCs/>
          <w:sz w:val="20"/>
          <w:szCs w:val="20"/>
        </w:rPr>
      </w:pPr>
      <w:bookmarkStart w:id="0" w:name="_Hlk209727716"/>
      <w:proofErr w:type="spellStart"/>
      <w:r w:rsidRPr="002857DE">
        <w:rPr>
          <w:bCs/>
          <w:sz w:val="20"/>
          <w:szCs w:val="20"/>
        </w:rPr>
        <w:t>Pentru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studenții</w:t>
      </w:r>
      <w:proofErr w:type="spellEnd"/>
      <w:r w:rsidRPr="002857DE">
        <w:rPr>
          <w:bCs/>
          <w:sz w:val="20"/>
          <w:szCs w:val="20"/>
        </w:rPr>
        <w:t xml:space="preserve"> cu </w:t>
      </w:r>
      <w:proofErr w:type="spellStart"/>
      <w:r w:rsidRPr="002857DE">
        <w:rPr>
          <w:bCs/>
          <w:sz w:val="20"/>
          <w:szCs w:val="20"/>
        </w:rPr>
        <w:t>dizabilități</w:t>
      </w:r>
      <w:proofErr w:type="spellEnd"/>
      <w:r w:rsidRPr="002857DE">
        <w:rPr>
          <w:bCs/>
          <w:sz w:val="20"/>
          <w:szCs w:val="20"/>
        </w:rPr>
        <w:t xml:space="preserve">, </w:t>
      </w:r>
      <w:proofErr w:type="spellStart"/>
      <w:r w:rsidRPr="002857DE">
        <w:rPr>
          <w:bCs/>
          <w:sz w:val="20"/>
          <w:szCs w:val="20"/>
        </w:rPr>
        <w:t>activitățile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didactice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metodele</w:t>
      </w:r>
      <w:proofErr w:type="spellEnd"/>
      <w:r w:rsidRPr="002857DE">
        <w:rPr>
          <w:bCs/>
          <w:sz w:val="20"/>
          <w:szCs w:val="20"/>
        </w:rPr>
        <w:t xml:space="preserve"> de </w:t>
      </w:r>
      <w:proofErr w:type="spellStart"/>
      <w:r w:rsidRPr="002857DE">
        <w:rPr>
          <w:bCs/>
          <w:sz w:val="20"/>
          <w:szCs w:val="20"/>
        </w:rPr>
        <w:t>evaluare</w:t>
      </w:r>
      <w:proofErr w:type="spellEnd"/>
      <w:r w:rsidRPr="002857DE">
        <w:rPr>
          <w:bCs/>
          <w:sz w:val="20"/>
          <w:szCs w:val="20"/>
        </w:rPr>
        <w:t xml:space="preserve"> se </w:t>
      </w:r>
      <w:proofErr w:type="spellStart"/>
      <w:r w:rsidRPr="002857DE">
        <w:rPr>
          <w:bCs/>
          <w:sz w:val="20"/>
          <w:szCs w:val="20"/>
        </w:rPr>
        <w:t>adaptează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în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funcție</w:t>
      </w:r>
      <w:proofErr w:type="spellEnd"/>
      <w:r w:rsidRPr="002857DE">
        <w:rPr>
          <w:bCs/>
          <w:sz w:val="20"/>
          <w:szCs w:val="20"/>
        </w:rPr>
        <w:t xml:space="preserve"> de </w:t>
      </w:r>
      <w:proofErr w:type="spellStart"/>
      <w:r w:rsidRPr="002857DE">
        <w:rPr>
          <w:bCs/>
          <w:sz w:val="20"/>
          <w:szCs w:val="20"/>
        </w:rPr>
        <w:t>tipul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gradul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acestora</w:t>
      </w:r>
      <w:proofErr w:type="spellEnd"/>
      <w:r w:rsidRPr="002857DE">
        <w:rPr>
          <w:bCs/>
          <w:sz w:val="20"/>
          <w:szCs w:val="20"/>
        </w:rPr>
        <w:t xml:space="preserve">, </w:t>
      </w:r>
      <w:proofErr w:type="spellStart"/>
      <w:r w:rsidRPr="002857DE">
        <w:rPr>
          <w:bCs/>
          <w:sz w:val="20"/>
          <w:szCs w:val="20"/>
        </w:rPr>
        <w:t>prin</w:t>
      </w:r>
      <w:proofErr w:type="spellEnd"/>
      <w:r w:rsidRPr="002857DE">
        <w:rPr>
          <w:bCs/>
          <w:sz w:val="20"/>
          <w:szCs w:val="20"/>
        </w:rPr>
        <w:t xml:space="preserve">: </w:t>
      </w:r>
      <w:proofErr w:type="spellStart"/>
      <w:r w:rsidRPr="002857DE">
        <w:rPr>
          <w:bCs/>
          <w:sz w:val="20"/>
          <w:szCs w:val="20"/>
        </w:rPr>
        <w:t>furnizarea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materialelor</w:t>
      </w:r>
      <w:proofErr w:type="spellEnd"/>
      <w:r w:rsidRPr="002857DE">
        <w:rPr>
          <w:bCs/>
          <w:sz w:val="20"/>
          <w:szCs w:val="20"/>
        </w:rPr>
        <w:t xml:space="preserve"> de curs </w:t>
      </w:r>
      <w:proofErr w:type="spellStart"/>
      <w:r w:rsidRPr="002857DE">
        <w:rPr>
          <w:bCs/>
          <w:sz w:val="20"/>
          <w:szCs w:val="20"/>
        </w:rPr>
        <w:t>în</w:t>
      </w:r>
      <w:proofErr w:type="spellEnd"/>
      <w:r w:rsidRPr="002857DE">
        <w:rPr>
          <w:bCs/>
          <w:sz w:val="20"/>
          <w:szCs w:val="20"/>
        </w:rPr>
        <w:t xml:space="preserve"> format </w:t>
      </w:r>
      <w:proofErr w:type="spellStart"/>
      <w:r w:rsidRPr="002857DE">
        <w:rPr>
          <w:bCs/>
          <w:sz w:val="20"/>
          <w:szCs w:val="20"/>
        </w:rPr>
        <w:t>accesibil</w:t>
      </w:r>
      <w:proofErr w:type="spellEnd"/>
      <w:r w:rsidRPr="002857DE">
        <w:rPr>
          <w:bCs/>
          <w:sz w:val="20"/>
          <w:szCs w:val="20"/>
        </w:rPr>
        <w:t xml:space="preserve"> (electronic, </w:t>
      </w:r>
      <w:proofErr w:type="spellStart"/>
      <w:r w:rsidRPr="002857DE">
        <w:rPr>
          <w:bCs/>
          <w:sz w:val="20"/>
          <w:szCs w:val="20"/>
        </w:rPr>
        <w:t>tipărit</w:t>
      </w:r>
      <w:proofErr w:type="spellEnd"/>
      <w:r w:rsidRPr="002857DE">
        <w:rPr>
          <w:bCs/>
          <w:sz w:val="20"/>
          <w:szCs w:val="20"/>
        </w:rPr>
        <w:t xml:space="preserve"> cu font </w:t>
      </w:r>
      <w:proofErr w:type="spellStart"/>
      <w:r w:rsidRPr="002857DE">
        <w:rPr>
          <w:bCs/>
          <w:sz w:val="20"/>
          <w:szCs w:val="20"/>
        </w:rPr>
        <w:t>mărit</w:t>
      </w:r>
      <w:proofErr w:type="spellEnd"/>
      <w:r w:rsidRPr="002857DE">
        <w:rPr>
          <w:bCs/>
          <w:sz w:val="20"/>
          <w:szCs w:val="20"/>
        </w:rPr>
        <w:t xml:space="preserve">), </w:t>
      </w:r>
      <w:proofErr w:type="spellStart"/>
      <w:r w:rsidRPr="002857DE">
        <w:rPr>
          <w:bCs/>
          <w:sz w:val="20"/>
          <w:szCs w:val="20"/>
        </w:rPr>
        <w:t>posibilitatea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susținerii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evaluării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orale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sau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în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timp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suplimentar</w:t>
      </w:r>
      <w:proofErr w:type="spellEnd"/>
      <w:r w:rsidRPr="002857DE">
        <w:rPr>
          <w:bCs/>
          <w:sz w:val="20"/>
          <w:szCs w:val="20"/>
        </w:rPr>
        <w:t xml:space="preserve">, precum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oferirea</w:t>
      </w:r>
      <w:proofErr w:type="spellEnd"/>
      <w:r w:rsidRPr="002857DE">
        <w:rPr>
          <w:bCs/>
          <w:sz w:val="20"/>
          <w:szCs w:val="20"/>
        </w:rPr>
        <w:t xml:space="preserve"> de </w:t>
      </w:r>
      <w:proofErr w:type="spellStart"/>
      <w:r w:rsidRPr="002857DE">
        <w:rPr>
          <w:bCs/>
          <w:sz w:val="20"/>
          <w:szCs w:val="20"/>
        </w:rPr>
        <w:t>sprijin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individualizat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feedback </w:t>
      </w:r>
      <w:proofErr w:type="spellStart"/>
      <w:r w:rsidRPr="002857DE">
        <w:rPr>
          <w:bCs/>
          <w:sz w:val="20"/>
          <w:szCs w:val="20"/>
        </w:rPr>
        <w:t>adaptat</w:t>
      </w:r>
      <w:proofErr w:type="spellEnd"/>
      <w:r w:rsidRPr="002857DE">
        <w:rPr>
          <w:bCs/>
          <w:sz w:val="20"/>
          <w:szCs w:val="20"/>
        </w:rPr>
        <w:t xml:space="preserve"> din </w:t>
      </w:r>
      <w:proofErr w:type="spellStart"/>
      <w:r w:rsidRPr="002857DE">
        <w:rPr>
          <w:bCs/>
          <w:sz w:val="20"/>
          <w:szCs w:val="20"/>
        </w:rPr>
        <w:t>partea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cadrului</w:t>
      </w:r>
      <w:proofErr w:type="spellEnd"/>
      <w:r w:rsidRPr="002857DE">
        <w:rPr>
          <w:bCs/>
          <w:sz w:val="20"/>
          <w:szCs w:val="20"/>
        </w:rPr>
        <w:t xml:space="preserve"> didactic.</w:t>
      </w:r>
    </w:p>
    <w:bookmarkEnd w:id="0"/>
    <w:p w14:paraId="2F0E6E4B" w14:textId="77777777" w:rsidR="002857DE" w:rsidRPr="002857DE" w:rsidRDefault="002857DE" w:rsidP="002857DE">
      <w:pPr>
        <w:pStyle w:val="BodyText"/>
        <w:spacing w:before="3"/>
        <w:rPr>
          <w:b/>
          <w:sz w:val="20"/>
          <w:szCs w:val="20"/>
          <w:lang w:val="ro-RO"/>
        </w:rPr>
      </w:pPr>
    </w:p>
    <w:p w14:paraId="2B2350D6" w14:textId="77777777" w:rsidR="00CF695C" w:rsidRPr="002857DE" w:rsidRDefault="00CF695C" w:rsidP="00CF695C">
      <w:pPr>
        <w:pStyle w:val="BodyText"/>
        <w:spacing w:before="3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C60AE7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</w:t>
            </w:r>
          </w:p>
          <w:p w14:paraId="65EA8CA1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</w:t>
            </w:r>
          </w:p>
          <w:p w14:paraId="1A8F1F01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semnătura titularului de aplicație</w:t>
            </w:r>
          </w:p>
        </w:tc>
      </w:tr>
      <w:tr w:rsidR="00675224" w:rsidRPr="00C60AE7" w14:paraId="4D1C5C7D" w14:textId="77777777" w:rsidTr="004A609A">
        <w:tc>
          <w:tcPr>
            <w:tcW w:w="955" w:type="pct"/>
            <w:vAlign w:val="center"/>
          </w:tcPr>
          <w:p w14:paraId="7ED9D88C" w14:textId="78611B7C" w:rsidR="00CF695C" w:rsidRPr="002857DE" w:rsidRDefault="002857D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627F3F08" w:rsidR="00CF695C" w:rsidRPr="002857DE" w:rsidRDefault="002857DE" w:rsidP="002857D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. Gabriela NEMTOI</w:t>
            </w:r>
          </w:p>
        </w:tc>
        <w:tc>
          <w:tcPr>
            <w:tcW w:w="2023" w:type="pct"/>
            <w:vAlign w:val="center"/>
          </w:tcPr>
          <w:p w14:paraId="158291B4" w14:textId="0CF229B0" w:rsidR="00CF695C" w:rsidRPr="002857DE" w:rsidRDefault="00C60AE7" w:rsidP="00C60AE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. Gabriela NEMTOI</w:t>
            </w:r>
          </w:p>
        </w:tc>
      </w:tr>
    </w:tbl>
    <w:p w14:paraId="541506CB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C60AE7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2857DE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2857DE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 semnătura responsabilului de program</w:t>
            </w:r>
          </w:p>
        </w:tc>
      </w:tr>
      <w:tr w:rsidR="00675224" w:rsidRPr="00C60AE7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787FC8A3" w:rsidR="00CF695C" w:rsidRPr="002857DE" w:rsidRDefault="00B858A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19.09.20252</w:t>
            </w:r>
          </w:p>
        </w:tc>
        <w:tc>
          <w:tcPr>
            <w:tcW w:w="3530" w:type="pct"/>
            <w:vAlign w:val="center"/>
          </w:tcPr>
          <w:p w14:paraId="28CE3413" w14:textId="5287A9BB" w:rsidR="00CF695C" w:rsidRPr="002857DE" w:rsidRDefault="002857D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. Gabriela NEMTOI</w:t>
            </w:r>
          </w:p>
        </w:tc>
      </w:tr>
    </w:tbl>
    <w:p w14:paraId="5432641D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C60AE7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 semnătura directorului de departament</w:t>
            </w:r>
          </w:p>
        </w:tc>
      </w:tr>
      <w:tr w:rsidR="00675224" w:rsidRPr="00C60AE7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38C92959" w:rsidR="00CF695C" w:rsidRPr="002857DE" w:rsidRDefault="00B858A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7B8716CD" w:rsidR="00CF695C" w:rsidRPr="002857DE" w:rsidRDefault="002857DE" w:rsidP="002857D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. Dumitrița FLOREA</w:t>
            </w:r>
          </w:p>
        </w:tc>
      </w:tr>
    </w:tbl>
    <w:p w14:paraId="426994C7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C60AE7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 semnătura decanului</w:t>
            </w:r>
          </w:p>
        </w:tc>
      </w:tr>
      <w:tr w:rsidR="00675224" w:rsidRPr="002857DE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6597036F" w:rsidR="00CF695C" w:rsidRPr="002857DE" w:rsidRDefault="00B858A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222774EA" w:rsidR="00CF695C" w:rsidRPr="002857DE" w:rsidRDefault="002857DE" w:rsidP="002857D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Conf.univ.dr.Liana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PASCARIU</w:t>
            </w:r>
          </w:p>
        </w:tc>
      </w:tr>
    </w:tbl>
    <w:p w14:paraId="72F3901B" w14:textId="77777777" w:rsidR="00CF695C" w:rsidRPr="002857DE" w:rsidRDefault="00CF695C" w:rsidP="00CF695C">
      <w:pPr>
        <w:pStyle w:val="BodyText"/>
        <w:spacing w:before="0"/>
        <w:rPr>
          <w:b/>
          <w:sz w:val="20"/>
          <w:szCs w:val="20"/>
          <w:lang w:val="ro-RO"/>
        </w:rPr>
      </w:pPr>
    </w:p>
    <w:p w14:paraId="04EC428A" w14:textId="77777777" w:rsidR="00015BE2" w:rsidRPr="002857DE" w:rsidRDefault="00015BE2" w:rsidP="00CF695C">
      <w:pPr>
        <w:jc w:val="both"/>
        <w:rPr>
          <w:sz w:val="20"/>
          <w:szCs w:val="20"/>
          <w:lang w:val="it-IT"/>
        </w:rPr>
      </w:pPr>
    </w:p>
    <w:sectPr w:rsidR="00015BE2" w:rsidRPr="002857DE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070FF" w14:textId="77777777" w:rsidR="003F07DC" w:rsidRDefault="003F07DC" w:rsidP="00CF695C">
      <w:r>
        <w:separator/>
      </w:r>
    </w:p>
  </w:endnote>
  <w:endnote w:type="continuationSeparator" w:id="0">
    <w:p w14:paraId="6ED6181F" w14:textId="77777777" w:rsidR="003F07DC" w:rsidRDefault="003F07DC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4CEF" w14:textId="77777777" w:rsidR="003F07DC" w:rsidRDefault="003F07DC" w:rsidP="00CF695C">
      <w:r>
        <w:separator/>
      </w:r>
    </w:p>
  </w:footnote>
  <w:footnote w:type="continuationSeparator" w:id="0">
    <w:p w14:paraId="1A3C4CA1" w14:textId="77777777" w:rsidR="003F07DC" w:rsidRDefault="003F07DC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1"/>
  </w:num>
  <w:num w:numId="2" w16cid:durableId="184281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215B5D"/>
    <w:rsid w:val="00216C1D"/>
    <w:rsid w:val="002857DE"/>
    <w:rsid w:val="00293E22"/>
    <w:rsid w:val="002F6E26"/>
    <w:rsid w:val="002F7BFD"/>
    <w:rsid w:val="00353FB7"/>
    <w:rsid w:val="003F07DC"/>
    <w:rsid w:val="00491D3A"/>
    <w:rsid w:val="005E2411"/>
    <w:rsid w:val="00607FD8"/>
    <w:rsid w:val="00675224"/>
    <w:rsid w:val="006C2DA3"/>
    <w:rsid w:val="00700208"/>
    <w:rsid w:val="00740D24"/>
    <w:rsid w:val="00744BF1"/>
    <w:rsid w:val="007978DF"/>
    <w:rsid w:val="007D404F"/>
    <w:rsid w:val="00857329"/>
    <w:rsid w:val="0088455A"/>
    <w:rsid w:val="008C4936"/>
    <w:rsid w:val="00942552"/>
    <w:rsid w:val="009A4494"/>
    <w:rsid w:val="009D6FB1"/>
    <w:rsid w:val="00AB7467"/>
    <w:rsid w:val="00B07DC9"/>
    <w:rsid w:val="00B858A3"/>
    <w:rsid w:val="00C246C6"/>
    <w:rsid w:val="00C60AE7"/>
    <w:rsid w:val="00CF695C"/>
    <w:rsid w:val="00D4748E"/>
    <w:rsid w:val="00DE3A19"/>
    <w:rsid w:val="00E673C8"/>
    <w:rsid w:val="00EA2C43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character" w:styleId="Strong">
    <w:name w:val="Strong"/>
    <w:uiPriority w:val="22"/>
    <w:qFormat/>
    <w:rsid w:val="00700208"/>
    <w:rPr>
      <w:rFonts w:cs="Times New Roman"/>
      <w:b/>
      <w:bCs/>
    </w:rPr>
  </w:style>
  <w:style w:type="character" w:customStyle="1" w:styleId="Other">
    <w:name w:val="Other_"/>
    <w:link w:val="Other0"/>
    <w:locked/>
    <w:rsid w:val="002857DE"/>
  </w:style>
  <w:style w:type="paragraph" w:customStyle="1" w:styleId="Other0">
    <w:name w:val="Other"/>
    <w:basedOn w:val="Normal"/>
    <w:link w:val="Other"/>
    <w:rsid w:val="002857DE"/>
    <w:pPr>
      <w:autoSpaceDE/>
      <w:autoSpaceDN/>
    </w:pPr>
    <w:rPr>
      <w:rFonts w:eastAsiaTheme="minorHAnsi" w:cstheme="minorBidi"/>
      <w:kern w:val="2"/>
      <w:sz w:val="24"/>
      <w:lang w:val="ro-RO"/>
      <w14:ligatures w14:val="standardContextual"/>
    </w:rPr>
  </w:style>
  <w:style w:type="character" w:customStyle="1" w:styleId="BodyTextChar1">
    <w:name w:val="Body Text Char1"/>
    <w:rsid w:val="002857DE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dcterms:created xsi:type="dcterms:W3CDTF">2025-10-07T10:26:00Z</dcterms:created>
  <dcterms:modified xsi:type="dcterms:W3CDTF">2026-01-23T07:52:00Z</dcterms:modified>
</cp:coreProperties>
</file>